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2F376" w14:textId="1614B05B" w:rsidR="00F6154C" w:rsidRPr="00925F0C" w:rsidRDefault="00F6154C" w:rsidP="00F6154C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WG1 #90</w:t>
      </w:r>
      <w:r w:rsidRPr="00925F0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R1-17134</w:t>
      </w:r>
      <w:r w:rsidR="00EC5B07">
        <w:rPr>
          <w:rFonts w:ascii="Arial" w:hAnsi="Arial" w:cs="Arial"/>
          <w:b/>
          <w:sz w:val="24"/>
          <w:szCs w:val="24"/>
        </w:rPr>
        <w:t>54</w:t>
      </w:r>
    </w:p>
    <w:p w14:paraId="2992B15D" w14:textId="77777777" w:rsidR="00F6154C" w:rsidRPr="00925F0C" w:rsidRDefault="00F6154C" w:rsidP="00F6154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Pr="0040204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21st</w:t>
      </w:r>
      <w:r w:rsidRPr="00402044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402044">
        <w:rPr>
          <w:rFonts w:ascii="Arial" w:hAnsi="Arial" w:cs="Arial"/>
          <w:b/>
          <w:sz w:val="24"/>
          <w:szCs w:val="24"/>
        </w:rPr>
        <w:t xml:space="preserve">th, </w:t>
      </w:r>
      <w:r w:rsidRPr="00925F0C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/>
          <w:b/>
          <w:sz w:val="24"/>
          <w:szCs w:val="24"/>
        </w:rPr>
        <w:t>7</w:t>
      </w:r>
    </w:p>
    <w:p w14:paraId="7BAAF8CD" w14:textId="77777777" w:rsidR="00F6154C" w:rsidRPr="00925F0C" w:rsidRDefault="00F6154C" w:rsidP="00F6154C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Prague, Czech</w:t>
      </w:r>
    </w:p>
    <w:p w14:paraId="6DEEC3D5" w14:textId="77777777" w:rsidR="00F25646" w:rsidRPr="00925F0C" w:rsidRDefault="00F25646" w:rsidP="00F25646">
      <w:pPr>
        <w:pStyle w:val="Footer"/>
        <w:jc w:val="both"/>
        <w:rPr>
          <w:i w:val="0"/>
          <w:noProof w:val="0"/>
        </w:rPr>
      </w:pPr>
    </w:p>
    <w:p w14:paraId="7BDBC773" w14:textId="6B4F74C9" w:rsidR="00F25646" w:rsidRPr="00925F0C" w:rsidRDefault="00F25646" w:rsidP="00F2564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113ACA">
        <w:rPr>
          <w:rFonts w:ascii="Arial" w:hAnsi="Arial"/>
          <w:sz w:val="24"/>
        </w:rPr>
        <w:t>6</w:t>
      </w:r>
      <w:bookmarkStart w:id="1" w:name="_GoBack"/>
      <w:bookmarkEnd w:id="1"/>
      <w:r>
        <w:rPr>
          <w:rFonts w:ascii="Arial" w:hAnsi="Arial"/>
          <w:sz w:val="24"/>
        </w:rPr>
        <w:t>.1.3.3.8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280229E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210AA1" w:rsidRPr="00210AA1">
        <w:rPr>
          <w:rFonts w:ascii="Arial" w:hAnsi="Arial"/>
          <w:sz w:val="22"/>
        </w:rPr>
        <w:t>UL URLLC Capacity Based on URLLC and eMBB dynamic multiplexing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E223304" w14:textId="287C1E8E" w:rsidR="006E22D8" w:rsidRDefault="000E692B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B4B36">
        <w:rPr>
          <w:sz w:val="24"/>
          <w:szCs w:val="24"/>
        </w:rPr>
        <w:t>ynamic multiplexing between eMBB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ongoing eMBB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06388241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For uplink URLLC and eMBB transmissions, it is important to manage inter-cell interference via power control at the UEs. In the interference-limited regime, UEs can target a lower received data SINR at the gNB and apply proper path-loss compensation to reduce IoT in neighboring cells. It means that achieving high system reliability for URLLC requires more frequency-domain resources to be 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r w:rsidR="00FF4845">
        <w:rPr>
          <w:sz w:val="24"/>
          <w:szCs w:val="24"/>
        </w:rPr>
        <w:t xml:space="preserve">eMBB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eMBB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3" w:name="OLE_LINK17"/>
      <w:bookmarkStart w:id="4" w:name="OLE_LINK18"/>
      <w:r>
        <w:rPr>
          <w:lang w:eastAsia="ko-KR"/>
        </w:rPr>
        <w:lastRenderedPageBreak/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5" w:name="_MON_1551509734"/>
    <w:bookmarkEnd w:id="5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.25pt;height:447.75pt" o:ole="">
            <v:imagedata r:id="rId12" o:title=""/>
          </v:shape>
          <o:OLEObject Type="Embed" ProgID="Excel.Sheet.12" ShapeID="_x0000_i1026" DrawAspect="Content" ObjectID="_1563968906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eMBB neighboring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>UL full-buffer eMBB</w:t>
      </w:r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eMBB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r w:rsidR="000B2DBA">
        <w:rPr>
          <w:sz w:val="24"/>
          <w:szCs w:val="24"/>
          <w:lang w:val="en-GB" w:eastAsia="ko-KR"/>
        </w:rPr>
        <w:t>eMBB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lastRenderedPageBreak/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gNB</w:t>
      </w:r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QoS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1000 packets/sec/UE * 256 bits/packet * 22 UEs/cell = 5.63 Mbps/cell,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4.51 Mbps</w:t>
            </w:r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lastRenderedPageBreak/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Mbps</w:t>
            </w:r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28.16 Mbps</w:t>
            </w:r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Similarly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eMBB interference at all. When eMBB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eMBB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eMBB traffic</w:t>
      </w:r>
      <w:r w:rsidR="005D23CE">
        <w:rPr>
          <w:sz w:val="24"/>
          <w:lang w:val="en-GB" w:eastAsia="ko-KR"/>
        </w:rPr>
        <w:t xml:space="preserve"> to improve the eMBB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eMBB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minislots and eMBB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>delay for URLLC. Consequently, dynamic multiplexing of URLLC and eMBB in both time and frequency domains is desired on the uplink.</w:t>
      </w:r>
    </w:p>
    <w:p w14:paraId="6B65044A" w14:textId="3FAACCAF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The 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>dynamic multiplexing between URLLC and eMBB in the frequency domain is needed on the uplink.</w:t>
      </w:r>
    </w:p>
    <w:p w14:paraId="1D628C70" w14:textId="77777777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2: </w:t>
      </w:r>
      <w:r w:rsidRPr="00583E91">
        <w:rPr>
          <w:sz w:val="24"/>
          <w:lang w:val="en-GB" w:eastAsia="ko-KR"/>
        </w:rPr>
        <w:t>Due to the difference in scheduling granularity, dynamic multiplexing between URLLC (slot-based) and eMBB (minislot-based) is needed in the time domain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>multiplexing between URLLC and eMBB</w:t>
      </w:r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Figure 2 shows that the transmission of SR and uplink grants consumes two minislots</w:t>
      </w:r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>30KHz and 2-symbol minislot)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 xml:space="preserve">suspension of same cell </w:t>
      </w:r>
      <w:r w:rsidR="00366635">
        <w:rPr>
          <w:sz w:val="24"/>
          <w:lang w:val="en-GB" w:eastAsia="ko-KR"/>
        </w:rPr>
        <w:lastRenderedPageBreak/>
        <w:t>eMBB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332E0043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eMBB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3"/>
    <w:bookmarkEnd w:id="4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78542485" w14:textId="26F44A85" w:rsidR="0090739D" w:rsidRPr="00FD183A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>Observation 1</w:t>
      </w:r>
      <w:r w:rsidRPr="00FD183A">
        <w:rPr>
          <w:b/>
          <w:i/>
          <w:sz w:val="24"/>
          <w:lang w:val="en-GB" w:eastAsia="ko-KR"/>
        </w:rPr>
        <w:t xml:space="preserve">: </w:t>
      </w:r>
      <w:r w:rsidR="0043392E">
        <w:rPr>
          <w:i/>
          <w:sz w:val="24"/>
          <w:lang w:val="en-GB" w:eastAsia="ko-KR"/>
        </w:rPr>
        <w:t xml:space="preserve">The SLS results show </w:t>
      </w:r>
      <w:r w:rsidR="00750618">
        <w:rPr>
          <w:i/>
          <w:sz w:val="24"/>
          <w:lang w:val="en-GB" w:eastAsia="ko-KR"/>
        </w:rPr>
        <w:t xml:space="preserve">that </w:t>
      </w:r>
      <w:r w:rsidR="00091B9E" w:rsidRPr="00637523">
        <w:rPr>
          <w:i/>
          <w:sz w:val="24"/>
          <w:lang w:val="en-GB" w:eastAsia="ko-KR"/>
        </w:rPr>
        <w:t>dynamic multiplexing between URLLC and eMBB in the frequency domain is needed on the uplink</w:t>
      </w:r>
      <w:r w:rsidRPr="00637523">
        <w:rPr>
          <w:i/>
          <w:sz w:val="24"/>
          <w:lang w:val="en-GB" w:eastAsia="ko-KR"/>
        </w:rPr>
        <w:t>.</w:t>
      </w:r>
    </w:p>
    <w:p w14:paraId="4F0A00B8" w14:textId="474962AC" w:rsidR="0090739D" w:rsidRDefault="0090739D" w:rsidP="0090739D">
      <w:pPr>
        <w:rPr>
          <w:b/>
          <w:i/>
          <w:sz w:val="24"/>
          <w:lang w:val="en-GB" w:eastAsia="ko-KR"/>
        </w:rPr>
      </w:pPr>
      <w:r w:rsidRPr="00FD183A">
        <w:rPr>
          <w:b/>
          <w:i/>
          <w:sz w:val="24"/>
          <w:lang w:val="en-GB" w:eastAsia="ko-KR"/>
        </w:rPr>
        <w:t xml:space="preserve">Observation 2: </w:t>
      </w:r>
      <w:r w:rsidR="00AE7431" w:rsidRPr="00451C41">
        <w:rPr>
          <w:i/>
          <w:sz w:val="24"/>
          <w:lang w:val="en-GB" w:eastAsia="ko-KR"/>
        </w:rPr>
        <w:t xml:space="preserve">Due to the difference in scheduling granularity, dynamic multiplexing between URLLC (slot-based) and eMBB (minislot-based) is </w:t>
      </w:r>
      <w:r w:rsidR="0091663E">
        <w:rPr>
          <w:i/>
          <w:sz w:val="24"/>
          <w:lang w:val="en-GB" w:eastAsia="ko-KR"/>
        </w:rPr>
        <w:t>needed</w:t>
      </w:r>
      <w:r w:rsidR="00AE7431" w:rsidRPr="00451C41">
        <w:rPr>
          <w:i/>
          <w:sz w:val="24"/>
          <w:lang w:val="en-GB" w:eastAsia="ko-KR"/>
        </w:rPr>
        <w:t xml:space="preserve"> in the time domain on the uplink.</w:t>
      </w:r>
    </w:p>
    <w:p w14:paraId="4C70276F" w14:textId="4E21EABB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>. On the other hand, the benefits of suspending intra-cell eMBB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eMBB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6" w:name="_Ref450583331"/>
      <w:bookmarkEnd w:id="6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URLLC/eMBB multiplexing efficiency analysis</w:t>
      </w:r>
      <w:r>
        <w:rPr>
          <w:sz w:val="24"/>
          <w:szCs w:val="24"/>
        </w:rPr>
        <w:t>, Qualcomm Incorporated.</w:t>
      </w:r>
      <w:bookmarkStart w:id="7" w:name="OLE_LINK5"/>
      <w:bookmarkStart w:id="8" w:name="OLE_LINK6"/>
      <w:bookmarkStart w:id="9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>Indication design for UL URLLC and eMBB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1F49B" w14:textId="77777777" w:rsidR="0057424B" w:rsidRDefault="0057424B">
      <w:r>
        <w:separator/>
      </w:r>
    </w:p>
  </w:endnote>
  <w:endnote w:type="continuationSeparator" w:id="0">
    <w:p w14:paraId="1F34069A" w14:textId="77777777" w:rsidR="0057424B" w:rsidRDefault="0057424B">
      <w:r>
        <w:continuationSeparator/>
      </w:r>
    </w:p>
  </w:endnote>
  <w:endnote w:type="continuationNotice" w:id="1">
    <w:p w14:paraId="2D598EF4" w14:textId="77777777" w:rsidR="0057424B" w:rsidRDefault="005742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029B99CD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3AC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3AC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5C94F" w14:textId="77777777" w:rsidR="0057424B" w:rsidRDefault="0057424B">
      <w:r>
        <w:separator/>
      </w:r>
    </w:p>
  </w:footnote>
  <w:footnote w:type="continuationSeparator" w:id="0">
    <w:p w14:paraId="44326746" w14:textId="77777777" w:rsidR="0057424B" w:rsidRDefault="0057424B">
      <w:r>
        <w:continuationSeparator/>
      </w:r>
    </w:p>
  </w:footnote>
  <w:footnote w:type="continuationNotice" w:id="1">
    <w:p w14:paraId="03870956" w14:textId="77777777" w:rsidR="0057424B" w:rsidRDefault="005742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92B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ACA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AA1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3CFB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67283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24B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432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686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5B07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646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4C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HR33RHYHUWRF-4-5501</_dlc_DocId>
    <_dlc_DocIdUrl xmlns="c06861ca-3f08-4d07-bff7-bb15bac121f4">
      <Url>https://projects.qualcomm.com/sites/pentari/_layouts/15/DocIdRedir.aspx?ID=HR33RHYHUWRF-4-5501</Url>
      <Description>HR33RHYHUWRF-4-5501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F709D0-4A6A-4DB5-B5F2-B88F34DB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2627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Chih-Ping Li</cp:lastModifiedBy>
  <cp:revision>1199</cp:revision>
  <cp:lastPrinted>2014-11-07T05:38:00Z</cp:lastPrinted>
  <dcterms:created xsi:type="dcterms:W3CDTF">2017-01-30T20:39:00Z</dcterms:created>
  <dcterms:modified xsi:type="dcterms:W3CDTF">2017-08-11T22:02:00Z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cf72bb56-050f-4c91-99f8-eb01bba2d8da</vt:lpwstr>
  </property>
  <property fmtid="{D5CDD505-2E9C-101B-9397-08002B2CF9AE}" pid="3" name="ContentTypeId">
    <vt:lpwstr>0x010100BC29BFD66497B943AA3B102F0C7B1355</vt:lpwstr>
  </property>
</Properties>
</file>